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22A" w:rsidRPr="0029122A" w:rsidRDefault="0029122A" w:rsidP="0029122A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_Ref399006623"/>
      <w:bookmarkStart w:id="1" w:name="_Toc92513360"/>
      <w:r w:rsidRPr="0029122A">
        <w:rPr>
          <w:rFonts w:ascii="Arial" w:hAnsi="Arial"/>
          <w:b/>
          <w:noProof/>
          <w:sz w:val="24"/>
          <w:lang w:eastAsia="zh-CN"/>
        </w:rPr>
        <w:t>3GPP TSG-RAN WG4 Meeting # 100-e                              R4-211</w:t>
      </w:r>
      <w:r w:rsidR="005F6E60">
        <w:rPr>
          <w:rFonts w:ascii="Arial" w:hAnsi="Arial"/>
          <w:b/>
          <w:noProof/>
          <w:sz w:val="24"/>
          <w:lang w:eastAsia="zh-CN"/>
        </w:rPr>
        <w:t>3427</w:t>
      </w:r>
      <w:bookmarkStart w:id="2" w:name="_GoBack"/>
      <w:bookmarkEnd w:id="2"/>
    </w:p>
    <w:p w:rsidR="00FE02E7" w:rsidRPr="00810842" w:rsidRDefault="0029122A" w:rsidP="0029122A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29122A">
        <w:rPr>
          <w:rFonts w:ascii="Arial" w:hAnsi="Arial"/>
          <w:b/>
          <w:noProof/>
          <w:sz w:val="24"/>
          <w:lang w:eastAsia="zh-CN"/>
        </w:rPr>
        <w:t>Electronic Meeting, 16– 27 August, 2021</w:t>
      </w:r>
    </w:p>
    <w:p w:rsidR="005929A6" w:rsidRPr="00FE02E7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bookmarkStart w:id="3" w:name="OLE_LINK39"/>
      <w:bookmarkStart w:id="4" w:name="OLE_LINK43"/>
      <w:r w:rsidR="00DA4FD3">
        <w:rPr>
          <w:rFonts w:ascii="Arial" w:hAnsi="Arial" w:cs="Arial"/>
          <w:sz w:val="22"/>
        </w:rPr>
        <w:t>Further</w:t>
      </w:r>
      <w:r w:rsidR="00933C27" w:rsidRPr="00933C27">
        <w:rPr>
          <w:rFonts w:ascii="Arial" w:hAnsi="Arial" w:cs="Arial"/>
          <w:sz w:val="22"/>
        </w:rPr>
        <w:t xml:space="preserve"> discussion on NTN simulation assumptions</w:t>
      </w:r>
      <w:bookmarkEnd w:id="3"/>
      <w:bookmarkEnd w:id="4"/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FE02E7">
        <w:rPr>
          <w:rFonts w:ascii="Arial" w:eastAsia="宋体" w:hAnsi="Arial" w:cs="Arial"/>
          <w:sz w:val="22"/>
          <w:lang w:eastAsia="zh-CN"/>
        </w:rPr>
        <w:t>9</w:t>
      </w:r>
      <w:r w:rsidR="0002008D">
        <w:rPr>
          <w:rFonts w:ascii="Arial" w:eastAsia="宋体" w:hAnsi="Arial" w:cs="Arial"/>
          <w:sz w:val="22"/>
          <w:lang w:eastAsia="zh-CN"/>
        </w:rPr>
        <w:t>.</w:t>
      </w:r>
      <w:r w:rsidR="00FE02E7">
        <w:rPr>
          <w:rFonts w:ascii="Arial" w:eastAsia="宋体" w:hAnsi="Arial" w:cs="Arial"/>
          <w:sz w:val="22"/>
          <w:lang w:eastAsia="zh-CN"/>
        </w:rPr>
        <w:t>1</w:t>
      </w:r>
      <w:r w:rsidR="0029122A">
        <w:rPr>
          <w:rFonts w:ascii="Arial" w:eastAsia="宋体" w:hAnsi="Arial" w:cs="Arial"/>
          <w:sz w:val="22"/>
          <w:lang w:eastAsia="zh-CN"/>
        </w:rPr>
        <w:t>3</w:t>
      </w:r>
      <w:r w:rsidR="0002008D">
        <w:rPr>
          <w:rFonts w:ascii="Arial" w:eastAsia="宋体" w:hAnsi="Arial" w:cs="Arial"/>
          <w:sz w:val="22"/>
          <w:lang w:eastAsia="zh-CN"/>
        </w:rPr>
        <w:t>.2.1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E31AB9" w:rsidRPr="00E31AB9" w:rsidRDefault="00D35B4A" w:rsidP="00E31AB9">
      <w:pPr>
        <w:rPr>
          <w:iCs/>
          <w:lang w:val="en-US"/>
        </w:rPr>
      </w:pPr>
      <w:r>
        <w:rPr>
          <w:rFonts w:eastAsia="宋体" w:hint="eastAsia"/>
          <w:lang w:val="en-US" w:eastAsia="zh-CN"/>
        </w:rPr>
        <w:t xml:space="preserve">In </w:t>
      </w:r>
      <w:r w:rsidR="00E31AB9">
        <w:rPr>
          <w:rFonts w:eastAsia="宋体" w:hint="eastAsia"/>
          <w:lang w:val="en-US" w:eastAsia="zh-CN"/>
        </w:rPr>
        <w:t>RAN</w:t>
      </w:r>
      <w:r w:rsidR="00266B67">
        <w:rPr>
          <w:rFonts w:eastAsia="宋体"/>
          <w:lang w:val="en-US" w:eastAsia="zh-CN"/>
        </w:rPr>
        <w:t>4</w:t>
      </w:r>
      <w:r w:rsidR="00E31AB9">
        <w:rPr>
          <w:rFonts w:eastAsia="宋体"/>
          <w:lang w:val="en-US" w:eastAsia="zh-CN"/>
        </w:rPr>
        <w:t>#</w:t>
      </w:r>
      <w:r w:rsidR="0029122A">
        <w:rPr>
          <w:rFonts w:eastAsia="宋体"/>
          <w:lang w:val="en-US" w:eastAsia="zh-CN"/>
        </w:rPr>
        <w:t>99</w:t>
      </w:r>
      <w:r w:rsidR="001E429D">
        <w:rPr>
          <w:rFonts w:eastAsia="宋体"/>
          <w:lang w:val="en-US" w:eastAsia="zh-CN"/>
        </w:rPr>
        <w:t>-e</w:t>
      </w:r>
      <w:r w:rsidR="00266B67">
        <w:rPr>
          <w:rFonts w:eastAsia="宋体"/>
          <w:lang w:val="en-US" w:eastAsia="zh-CN"/>
        </w:rPr>
        <w:t xml:space="preserve">, RAN4 made some progress on the NTN simulation assumptions [1]. </w:t>
      </w:r>
      <w:r w:rsidR="0029122A">
        <w:rPr>
          <w:rFonts w:eastAsia="宋体"/>
          <w:lang w:val="en-US" w:eastAsia="zh-CN"/>
        </w:rPr>
        <w:t xml:space="preserve">However, there are still some open issues for the assumptions. </w:t>
      </w:r>
      <w:r w:rsidR="00E31AB9">
        <w:rPr>
          <w:iCs/>
          <w:lang w:val="en-US"/>
        </w:rPr>
        <w:t xml:space="preserve">In this paper, we’d like to </w:t>
      </w:r>
      <w:r w:rsidR="002F60E9">
        <w:rPr>
          <w:iCs/>
          <w:lang w:val="en-US"/>
        </w:rPr>
        <w:t xml:space="preserve">further </w:t>
      </w:r>
      <w:r w:rsidR="00E31AB9">
        <w:rPr>
          <w:iCs/>
          <w:lang w:val="en-US"/>
        </w:rPr>
        <w:t xml:space="preserve">discuss </w:t>
      </w:r>
      <w:r w:rsidR="002F60E9">
        <w:rPr>
          <w:iCs/>
          <w:lang w:val="en-US"/>
        </w:rPr>
        <w:t>NTN simulation assumptions</w:t>
      </w:r>
      <w:r w:rsidR="00475160">
        <w:rPr>
          <w:iCs/>
          <w:lang w:val="en-US"/>
        </w:rPr>
        <w:t xml:space="preserve"> to address the remaining issues</w:t>
      </w:r>
      <w:r w:rsidR="00E31AB9">
        <w:rPr>
          <w:iCs/>
          <w:lang w:val="en-US"/>
        </w:rPr>
        <w:t>.</w:t>
      </w:r>
    </w:p>
    <w:p w:rsidR="00CB1359" w:rsidRDefault="0029122A" w:rsidP="0029122A">
      <w:pPr>
        <w:pStyle w:val="1"/>
        <w:rPr>
          <w:rFonts w:eastAsia="宋体"/>
          <w:lang w:eastAsia="zh-CN"/>
        </w:rPr>
      </w:pPr>
      <w:r w:rsidRPr="0029122A">
        <w:rPr>
          <w:rFonts w:eastAsia="宋体"/>
          <w:lang w:eastAsia="zh-CN"/>
        </w:rPr>
        <w:t>Co-existence simulation scenarios</w:t>
      </w:r>
    </w:p>
    <w:p w:rsidR="00CB1359" w:rsidRDefault="0029122A" w:rsidP="00CB13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23dBm handheld UE, all the UL SINRs for GEO scenario are less than -10dB. That means there is no UL throughput for 23dBm handheld UE in GEO scenario. Thus, GEO can’t be deployed in S-band for 23dBm handheld UE.</w:t>
      </w:r>
    </w:p>
    <w:p w:rsidR="00CB1359" w:rsidRDefault="00EE20A8" w:rsidP="00CB1359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="008F035D">
        <w:rPr>
          <w:rFonts w:eastAsia="宋体" w:hint="eastAsia"/>
          <w:b/>
          <w:lang w:eastAsia="zh-CN"/>
        </w:rPr>
        <w:t xml:space="preserve"> </w:t>
      </w:r>
      <w:r w:rsidR="008F035D">
        <w:rPr>
          <w:rFonts w:eastAsia="宋体"/>
          <w:b/>
          <w:lang w:eastAsia="zh-CN"/>
        </w:rPr>
        <w:t>1:</w:t>
      </w:r>
      <w:r w:rsidR="008F035D" w:rsidRPr="00EF48CA">
        <w:t xml:space="preserve"> </w:t>
      </w:r>
      <w:r w:rsidR="0029122A">
        <w:rPr>
          <w:rFonts w:eastAsia="宋体"/>
          <w:b/>
          <w:lang w:eastAsia="zh-CN"/>
        </w:rPr>
        <w:t>To remove GEO scenario</w:t>
      </w:r>
      <w:r w:rsidR="00416BAE">
        <w:rPr>
          <w:rFonts w:eastAsia="宋体"/>
          <w:b/>
          <w:lang w:eastAsia="zh-CN"/>
        </w:rPr>
        <w:t xml:space="preserve"> since PC3 handheld UE has no UL throughput</w:t>
      </w:r>
      <w:r w:rsidR="008F035D" w:rsidRPr="008F035D">
        <w:rPr>
          <w:rFonts w:eastAsia="宋体"/>
          <w:b/>
          <w:lang w:eastAsia="zh-CN"/>
        </w:rPr>
        <w:t>.</w:t>
      </w:r>
    </w:p>
    <w:p w:rsidR="00416BAE" w:rsidRDefault="00416BAE" w:rsidP="00CB1359">
      <w:pPr>
        <w:rPr>
          <w:rFonts w:eastAsia="宋体"/>
          <w:lang w:eastAsia="zh-CN"/>
        </w:rPr>
      </w:pPr>
      <w:r w:rsidRPr="00416BAE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proposed frequency and bandwidth for co-existence study [1] are shown below.</w:t>
      </w:r>
    </w:p>
    <w:tbl>
      <w:tblPr>
        <w:tblW w:w="4591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119"/>
        <w:gridCol w:w="1558"/>
        <w:gridCol w:w="2125"/>
        <w:gridCol w:w="1415"/>
        <w:gridCol w:w="1617"/>
      </w:tblGrid>
      <w:tr w:rsidR="00416BAE" w:rsidTr="00416BAE">
        <w:trPr>
          <w:jc w:val="center"/>
        </w:trPr>
        <w:tc>
          <w:tcPr>
            <w:tcW w:w="11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88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</w:rPr>
              <w:t>Frequency</w:t>
            </w:r>
          </w:p>
        </w:tc>
        <w:tc>
          <w:tcPr>
            <w:tcW w:w="120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</w:rPr>
              <w:t>Bandwidth</w:t>
            </w:r>
          </w:p>
        </w:tc>
        <w:tc>
          <w:tcPr>
            <w:tcW w:w="80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b/>
                <w:bCs/>
                <w:sz w:val="18"/>
                <w:szCs w:val="15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</w:rPr>
              <w:t>Duplex mode</w:t>
            </w:r>
          </w:p>
        </w:tc>
        <w:tc>
          <w:tcPr>
            <w:tcW w:w="91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b/>
                <w:bCs/>
                <w:sz w:val="18"/>
                <w:szCs w:val="15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</w:rPr>
              <w:t>Frequency reuse factor</w:t>
            </w:r>
          </w:p>
        </w:tc>
      </w:tr>
      <w:tr w:rsidR="00416BAE" w:rsidTr="00416BAE">
        <w:trPr>
          <w:jc w:val="center"/>
        </w:trPr>
        <w:tc>
          <w:tcPr>
            <w:tcW w:w="119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Rural</w:t>
            </w:r>
          </w:p>
        </w:tc>
        <w:tc>
          <w:tcPr>
            <w:tcW w:w="88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 GHz</w:t>
            </w:r>
          </w:p>
        </w:tc>
        <w:tc>
          <w:tcPr>
            <w:tcW w:w="120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20MHz</w:t>
            </w:r>
          </w:p>
        </w:tc>
        <w:tc>
          <w:tcPr>
            <w:tcW w:w="80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FDD, TDD</w:t>
            </w:r>
          </w:p>
        </w:tc>
        <w:tc>
          <w:tcPr>
            <w:tcW w:w="91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</w:tr>
      <w:tr w:rsidR="00416BAE" w:rsidTr="00416BAE">
        <w:trPr>
          <w:jc w:val="center"/>
        </w:trPr>
        <w:tc>
          <w:tcPr>
            <w:tcW w:w="119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Urban macro</w:t>
            </w:r>
          </w:p>
        </w:tc>
        <w:tc>
          <w:tcPr>
            <w:tcW w:w="88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 GHz</w:t>
            </w:r>
          </w:p>
        </w:tc>
        <w:tc>
          <w:tcPr>
            <w:tcW w:w="120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20MHz</w:t>
            </w:r>
          </w:p>
        </w:tc>
        <w:tc>
          <w:tcPr>
            <w:tcW w:w="80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FDD, TDD</w:t>
            </w:r>
          </w:p>
        </w:tc>
        <w:tc>
          <w:tcPr>
            <w:tcW w:w="91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</w:tr>
      <w:tr w:rsidR="00416BAE" w:rsidTr="00416BAE">
        <w:trPr>
          <w:jc w:val="center"/>
        </w:trPr>
        <w:tc>
          <w:tcPr>
            <w:tcW w:w="119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Dense Urban</w:t>
            </w:r>
          </w:p>
        </w:tc>
        <w:tc>
          <w:tcPr>
            <w:tcW w:w="88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 GHz</w:t>
            </w:r>
          </w:p>
        </w:tc>
        <w:tc>
          <w:tcPr>
            <w:tcW w:w="120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20MHz</w:t>
            </w:r>
          </w:p>
        </w:tc>
        <w:tc>
          <w:tcPr>
            <w:tcW w:w="80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FDD, TDD</w:t>
            </w:r>
          </w:p>
        </w:tc>
        <w:tc>
          <w:tcPr>
            <w:tcW w:w="91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</w:tr>
      <w:tr w:rsidR="00416BAE" w:rsidTr="00416BAE">
        <w:trPr>
          <w:jc w:val="center"/>
        </w:trPr>
        <w:tc>
          <w:tcPr>
            <w:tcW w:w="119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GEO</w:t>
            </w:r>
          </w:p>
        </w:tc>
        <w:tc>
          <w:tcPr>
            <w:tcW w:w="88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 GHz</w:t>
            </w:r>
          </w:p>
        </w:tc>
        <w:tc>
          <w:tcPr>
            <w:tcW w:w="120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5/10/15/20 MHz for FR1</w:t>
            </w:r>
          </w:p>
        </w:tc>
        <w:tc>
          <w:tcPr>
            <w:tcW w:w="80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FDD</w:t>
            </w:r>
          </w:p>
        </w:tc>
        <w:tc>
          <w:tcPr>
            <w:tcW w:w="91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1, 3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1</w:t>
            </w:r>
          </w:p>
        </w:tc>
      </w:tr>
      <w:tr w:rsidR="00416BAE" w:rsidTr="00416BAE">
        <w:trPr>
          <w:jc w:val="center"/>
        </w:trPr>
        <w:tc>
          <w:tcPr>
            <w:tcW w:w="119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</w:t>
            </w:r>
          </w:p>
        </w:tc>
        <w:tc>
          <w:tcPr>
            <w:tcW w:w="88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 GHz</w:t>
            </w:r>
          </w:p>
        </w:tc>
        <w:tc>
          <w:tcPr>
            <w:tcW w:w="120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5/10/15/20 MHz for FR1</w:t>
            </w:r>
          </w:p>
        </w:tc>
        <w:tc>
          <w:tcPr>
            <w:tcW w:w="80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FDD</w:t>
            </w:r>
          </w:p>
        </w:tc>
        <w:tc>
          <w:tcPr>
            <w:tcW w:w="91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1, 3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1</w:t>
            </w:r>
          </w:p>
        </w:tc>
      </w:tr>
      <w:tr w:rsidR="00416BAE" w:rsidTr="00416BAE">
        <w:trPr>
          <w:jc w:val="center"/>
        </w:trPr>
        <w:tc>
          <w:tcPr>
            <w:tcW w:w="119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HAPS</w:t>
            </w:r>
          </w:p>
        </w:tc>
        <w:tc>
          <w:tcPr>
            <w:tcW w:w="88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 GHz</w:t>
            </w:r>
          </w:p>
        </w:tc>
        <w:tc>
          <w:tcPr>
            <w:tcW w:w="120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TBD</w:t>
            </w:r>
          </w:p>
        </w:tc>
        <w:tc>
          <w:tcPr>
            <w:tcW w:w="80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FDD</w:t>
            </w:r>
          </w:p>
        </w:tc>
        <w:tc>
          <w:tcPr>
            <w:tcW w:w="91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416BAE" w:rsidRDefault="00416BAE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  <w:highlight w:val="yellow"/>
              </w:rPr>
              <w:t>[1]</w:t>
            </w:r>
          </w:p>
        </w:tc>
      </w:tr>
      <w:tr w:rsidR="00416BAE" w:rsidTr="00416BAE">
        <w:trPr>
          <w:jc w:val="center"/>
        </w:trPr>
        <w:tc>
          <w:tcPr>
            <w:tcW w:w="1" w:type="pct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6BAE" w:rsidRDefault="00416BAE">
            <w:pPr>
              <w:snapToGrid w:val="0"/>
              <w:spacing w:after="0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Note 1: 2 phases will be considered for FRF: FRF=1 in phase 1 for simplification; FRF=3 in phase 2 or it is found FRF=1 is too stringent.</w:t>
            </w:r>
          </w:p>
        </w:tc>
      </w:tr>
    </w:tbl>
    <w:p w:rsidR="00416BAE" w:rsidRDefault="00416BAE" w:rsidP="00CB135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>or FRF=3, the adjacent channel interference can occur among different satellite beam</w:t>
      </w:r>
      <w:r w:rsidR="00B7167B">
        <w:rPr>
          <w:rFonts w:eastAsia="宋体"/>
          <w:lang w:val="en-US" w:eastAsia="zh-CN"/>
        </w:rPr>
        <w:t xml:space="preserve"> in one satellite</w:t>
      </w:r>
      <w:r>
        <w:rPr>
          <w:rFonts w:eastAsia="宋体"/>
          <w:lang w:val="en-US" w:eastAsia="zh-CN"/>
        </w:rPr>
        <w:t>.</w:t>
      </w:r>
      <w:r w:rsidR="00B7167B">
        <w:rPr>
          <w:rFonts w:eastAsia="宋体"/>
          <w:lang w:val="en-US" w:eastAsia="zh-CN"/>
        </w:rPr>
        <w:t xml:space="preserve"> Referring to the definition of the interfering beams [2] as below, there are 6 adjacent beam for the beam of interest. Thus, o</w:t>
      </w:r>
      <w:r>
        <w:rPr>
          <w:rFonts w:eastAsia="宋体"/>
          <w:lang w:val="en-US" w:eastAsia="zh-CN"/>
        </w:rPr>
        <w:t>ne satellite with FRF=3 can be considered as the NTN-NTN co-existence scenario.</w:t>
      </w:r>
    </w:p>
    <w:p w:rsidR="00B7167B" w:rsidRDefault="00B7167B" w:rsidP="00CB1359">
      <w:pPr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2:</w:t>
      </w:r>
      <w:r w:rsidRPr="00EF48CA">
        <w:t xml:space="preserve"> </w:t>
      </w:r>
      <w:r>
        <w:rPr>
          <w:rFonts w:eastAsia="宋体"/>
          <w:b/>
          <w:lang w:eastAsia="zh-CN"/>
        </w:rPr>
        <w:t>O</w:t>
      </w:r>
      <w:proofErr w:type="spellStart"/>
      <w:r w:rsidRPr="00B7167B">
        <w:rPr>
          <w:rFonts w:eastAsia="宋体"/>
          <w:b/>
          <w:lang w:val="en-US" w:eastAsia="zh-CN"/>
        </w:rPr>
        <w:t>ne</w:t>
      </w:r>
      <w:proofErr w:type="spellEnd"/>
      <w:r w:rsidRPr="00B7167B">
        <w:rPr>
          <w:rFonts w:eastAsia="宋体"/>
          <w:b/>
          <w:lang w:val="en-US" w:eastAsia="zh-CN"/>
        </w:rPr>
        <w:t xml:space="preserve"> satellite with FRF=3 can be considered as </w:t>
      </w:r>
      <w:r w:rsidR="001B158D">
        <w:rPr>
          <w:rFonts w:eastAsia="宋体"/>
          <w:b/>
          <w:lang w:val="en-US" w:eastAsia="zh-CN"/>
        </w:rPr>
        <w:t>candidate</w:t>
      </w:r>
      <w:r w:rsidR="001B158D" w:rsidRPr="00B7167B">
        <w:rPr>
          <w:rFonts w:eastAsia="宋体"/>
          <w:b/>
          <w:lang w:val="en-US" w:eastAsia="zh-CN"/>
        </w:rPr>
        <w:t xml:space="preserve"> </w:t>
      </w:r>
      <w:r w:rsidRPr="00B7167B">
        <w:rPr>
          <w:rFonts w:eastAsia="宋体"/>
          <w:b/>
          <w:lang w:val="en-US" w:eastAsia="zh-CN"/>
        </w:rPr>
        <w:t>NTN-NTN co-existence scenario</w:t>
      </w:r>
      <w:r w:rsidRPr="00B7167B">
        <w:rPr>
          <w:rFonts w:eastAsia="宋体"/>
          <w:b/>
          <w:lang w:eastAsia="zh-CN"/>
        </w:rPr>
        <w:t>.</w:t>
      </w:r>
    </w:p>
    <w:p w:rsidR="00B7167B" w:rsidRPr="00416BAE" w:rsidRDefault="00B7167B" w:rsidP="00B7167B">
      <w:pPr>
        <w:jc w:val="center"/>
        <w:rPr>
          <w:rFonts w:eastAsia="宋体"/>
          <w:lang w:val="en-US" w:eastAsia="zh-CN"/>
        </w:rPr>
      </w:pPr>
      <w:r w:rsidRPr="00B54D6A">
        <w:object w:dxaOrig="10113" w:dyaOrig="139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9pt;height:230.4pt" o:ole="">
            <v:imagedata r:id="rId8" o:title=""/>
          </v:shape>
          <o:OLEObject Type="Embed" ProgID="Visio.Drawing.11" ShapeID="_x0000_i1025" DrawAspect="Content" ObjectID="_1689786648" r:id="rId9"/>
        </w:object>
      </w:r>
    </w:p>
    <w:p w:rsidR="007E6A08" w:rsidRDefault="00B7167B" w:rsidP="00B7167B">
      <w:pPr>
        <w:pStyle w:val="1"/>
        <w:rPr>
          <w:rFonts w:eastAsia="宋体"/>
          <w:lang w:eastAsia="zh-CN"/>
        </w:rPr>
      </w:pPr>
      <w:r w:rsidRPr="00B7167B">
        <w:rPr>
          <w:rFonts w:eastAsia="宋体"/>
          <w:lang w:eastAsia="zh-CN"/>
        </w:rPr>
        <w:t>Simulation parameters</w:t>
      </w:r>
    </w:p>
    <w:p w:rsidR="00B7167B" w:rsidRPr="009E48D9" w:rsidRDefault="00B7167B" w:rsidP="00B7167B">
      <w:pPr>
        <w:rPr>
          <w:rFonts w:eastAsia="宋体"/>
          <w:b/>
          <w:lang w:eastAsia="zh-CN"/>
        </w:rPr>
      </w:pPr>
      <w:bookmarkStart w:id="5" w:name="OLE_LINK78"/>
      <w:bookmarkStart w:id="6" w:name="OLE_LINK88"/>
      <w:r>
        <w:rPr>
          <w:rFonts w:eastAsia="宋体"/>
          <w:lang w:val="en-US" w:eastAsia="zh-CN"/>
        </w:rPr>
        <w:t xml:space="preserve">In table 2.3-2, the satellite max </w:t>
      </w:r>
      <w:proofErr w:type="spellStart"/>
      <w:proofErr w:type="gramStart"/>
      <w:r>
        <w:rPr>
          <w:rFonts w:eastAsia="宋体"/>
          <w:lang w:val="en-US" w:eastAsia="zh-CN"/>
        </w:rPr>
        <w:t>Tx</w:t>
      </w:r>
      <w:proofErr w:type="spellEnd"/>
      <w:proofErr w:type="gramEnd"/>
      <w:r>
        <w:rPr>
          <w:rFonts w:eastAsia="宋体"/>
          <w:lang w:val="en-US" w:eastAsia="zh-CN"/>
        </w:rPr>
        <w:t xml:space="preserve"> power in </w:t>
      </w:r>
      <w:proofErr w:type="spellStart"/>
      <w:r>
        <w:rPr>
          <w:rFonts w:eastAsia="宋体"/>
          <w:lang w:val="en-US" w:eastAsia="zh-CN"/>
        </w:rPr>
        <w:t>dBm</w:t>
      </w:r>
      <w:proofErr w:type="spellEnd"/>
      <w:r>
        <w:rPr>
          <w:rFonts w:eastAsia="宋体"/>
          <w:lang w:val="en-US" w:eastAsia="zh-CN"/>
        </w:rPr>
        <w:t xml:space="preserve"> for 20MHz is open for all the scenarios. </w:t>
      </w:r>
    </w:p>
    <w:p w:rsidR="00F4573D" w:rsidRDefault="00B7167B" w:rsidP="00F4573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3: </w:t>
      </w:r>
      <w:r w:rsidRPr="00B7167B">
        <w:rPr>
          <w:rFonts w:eastAsia="宋体"/>
          <w:b/>
          <w:lang w:eastAsia="zh-CN"/>
        </w:rPr>
        <w:t xml:space="preserve">the satellite max </w:t>
      </w:r>
      <w:proofErr w:type="spellStart"/>
      <w:proofErr w:type="gramStart"/>
      <w:r w:rsidRPr="00B7167B">
        <w:rPr>
          <w:rFonts w:eastAsia="宋体"/>
          <w:b/>
          <w:lang w:eastAsia="zh-CN"/>
        </w:rPr>
        <w:t>Tx</w:t>
      </w:r>
      <w:proofErr w:type="spellEnd"/>
      <w:proofErr w:type="gramEnd"/>
      <w:r w:rsidRPr="00B7167B">
        <w:rPr>
          <w:rFonts w:eastAsia="宋体"/>
          <w:b/>
          <w:lang w:eastAsia="zh-CN"/>
        </w:rPr>
        <w:t xml:space="preserve"> power in </w:t>
      </w:r>
      <w:proofErr w:type="spellStart"/>
      <w:r w:rsidRPr="00B7167B">
        <w:rPr>
          <w:rFonts w:eastAsia="宋体"/>
          <w:b/>
          <w:lang w:eastAsia="zh-CN"/>
        </w:rPr>
        <w:t>dBm</w:t>
      </w:r>
      <w:proofErr w:type="spellEnd"/>
      <w:r w:rsidRPr="00B7167B">
        <w:rPr>
          <w:rFonts w:eastAsia="宋体"/>
          <w:b/>
          <w:lang w:eastAsia="zh-CN"/>
        </w:rPr>
        <w:t xml:space="preserve"> for 20MHz</w:t>
      </w:r>
      <w:r w:rsidR="006B5472">
        <w:rPr>
          <w:rFonts w:eastAsia="宋体"/>
          <w:b/>
          <w:lang w:eastAsia="zh-CN"/>
        </w:rPr>
        <w:t xml:space="preserve"> can be assumed as below.</w:t>
      </w: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1085"/>
        <w:gridCol w:w="1087"/>
        <w:gridCol w:w="1047"/>
        <w:gridCol w:w="534"/>
        <w:gridCol w:w="534"/>
        <w:gridCol w:w="535"/>
        <w:gridCol w:w="534"/>
        <w:gridCol w:w="534"/>
        <w:gridCol w:w="535"/>
        <w:gridCol w:w="534"/>
        <w:gridCol w:w="534"/>
        <w:gridCol w:w="535"/>
        <w:gridCol w:w="534"/>
        <w:gridCol w:w="534"/>
        <w:gridCol w:w="535"/>
      </w:tblGrid>
      <w:tr w:rsidR="006B5472" w:rsidTr="006B5472">
        <w:tc>
          <w:tcPr>
            <w:tcW w:w="3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orbit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GEO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LEO-1200</w:t>
            </w:r>
          </w:p>
        </w:tc>
        <w:tc>
          <w:tcPr>
            <w:tcW w:w="2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LEO-600</w:t>
            </w:r>
          </w:p>
        </w:tc>
      </w:tr>
      <w:tr w:rsidR="006B5472" w:rsidTr="006B5472">
        <w:tc>
          <w:tcPr>
            <w:tcW w:w="3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altitude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35786 km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1200 km</w:t>
            </w:r>
          </w:p>
        </w:tc>
        <w:tc>
          <w:tcPr>
            <w:tcW w:w="2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600 km</w:t>
            </w:r>
          </w:p>
        </w:tc>
      </w:tr>
      <w:tr w:rsidR="006B5472" w:rsidTr="006B5472">
        <w:tc>
          <w:tcPr>
            <w:tcW w:w="96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DL transmissions</w:t>
            </w:r>
          </w:p>
        </w:tc>
      </w:tr>
      <w:tr w:rsidR="006B5472" w:rsidTr="006B5472"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EIRP density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2GHz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59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40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  <w:tc>
          <w:tcPr>
            <w:tcW w:w="2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34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</w:tr>
      <w:tr w:rsidR="006B5472" w:rsidTr="006B5472"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Satellite max TX power in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dBm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BW (MHz)</w:t>
            </w: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pacing w:after="0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10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10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</w:t>
            </w:r>
          </w:p>
        </w:tc>
      </w:tr>
      <w:tr w:rsidR="006B5472" w:rsidTr="006B5472">
        <w:trPr>
          <w:trHeight w:val="276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pacing w:after="0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SCS 15kHz</w:t>
            </w: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pacing w:after="0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44.53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47.71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49.53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P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  <w:highlight w:val="yellow"/>
              </w:rPr>
            </w:pPr>
            <w:r w:rsidRPr="006B5472">
              <w:rPr>
                <w:rFonts w:eastAsiaTheme="minorEastAsia"/>
                <w:sz w:val="13"/>
                <w:szCs w:val="15"/>
                <w:highlight w:val="yellow"/>
              </w:rPr>
              <w:t>50.71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46.53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49.71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51.53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P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  <w:highlight w:val="yellow"/>
              </w:rPr>
            </w:pPr>
            <w:r w:rsidRPr="006B5472">
              <w:rPr>
                <w:rFonts w:eastAsiaTheme="minorEastAsia"/>
                <w:sz w:val="13"/>
                <w:szCs w:val="15"/>
                <w:highlight w:val="yellow"/>
              </w:rPr>
              <w:t>52.71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40.53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43.71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45.53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P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  <w:highlight w:val="yellow"/>
              </w:rPr>
            </w:pPr>
            <w:r w:rsidRPr="006B5472">
              <w:rPr>
                <w:rFonts w:eastAsiaTheme="minorEastAsia"/>
                <w:sz w:val="13"/>
                <w:szCs w:val="15"/>
                <w:highlight w:val="yellow"/>
              </w:rPr>
              <w:t>46.71</w:t>
            </w:r>
          </w:p>
        </w:tc>
      </w:tr>
      <w:tr w:rsidR="006B5472" w:rsidTr="006B5472">
        <w:trPr>
          <w:trHeight w:val="47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pacing w:after="0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SCS 30kHz</w:t>
            </w: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pacing w:after="0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43.98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47.37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49.36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P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  <w:highlight w:val="yellow"/>
              </w:rPr>
            </w:pPr>
            <w:r w:rsidRPr="006B5472">
              <w:rPr>
                <w:rFonts w:eastAsiaTheme="minorEastAsia"/>
                <w:sz w:val="13"/>
                <w:szCs w:val="15"/>
                <w:highlight w:val="yellow"/>
              </w:rPr>
              <w:t>50.37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45.98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49.37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51.36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P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  <w:highlight w:val="yellow"/>
              </w:rPr>
            </w:pPr>
            <w:r w:rsidRPr="006B5472">
              <w:rPr>
                <w:rFonts w:eastAsiaTheme="minorEastAsia"/>
                <w:sz w:val="13"/>
                <w:szCs w:val="15"/>
                <w:highlight w:val="yellow"/>
              </w:rPr>
              <w:t>52.37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39.98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43.37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45.36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72" w:rsidRPr="006B5472" w:rsidRDefault="006B547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  <w:highlight w:val="yellow"/>
              </w:rPr>
            </w:pPr>
            <w:r w:rsidRPr="006B5472">
              <w:rPr>
                <w:rFonts w:eastAsiaTheme="minorEastAsia"/>
                <w:sz w:val="13"/>
                <w:szCs w:val="15"/>
                <w:highlight w:val="yellow"/>
              </w:rPr>
              <w:t>46.37</w:t>
            </w:r>
          </w:p>
        </w:tc>
      </w:tr>
    </w:tbl>
    <w:p w:rsidR="006B5472" w:rsidRDefault="006B5472" w:rsidP="00F4573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4: the handover margin can be 3dB for NTN.</w:t>
      </w:r>
    </w:p>
    <w:p w:rsidR="006B5472" w:rsidRDefault="006B5472" w:rsidP="00F4573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table 2.3-6, the “cell radius” should be replaced by “cell range” because of the different concepts for “cell radius” between ITU-R and 3GPP.</w:t>
      </w:r>
      <w:r w:rsidR="00E532D3">
        <w:rPr>
          <w:rFonts w:eastAsia="宋体"/>
          <w:lang w:val="en-US" w:eastAsia="zh-CN"/>
        </w:rPr>
        <w:t xml:space="preserve"> Alternatively, we can use ISD to avoid any ambiguities in the assumption.</w:t>
      </w:r>
    </w:p>
    <w:p w:rsidR="006B5472" w:rsidRDefault="006B5472" w:rsidP="00F4573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table 2.3-6, the suburban macro can be removed since the agreed scenarios didn’t include suburban macro.</w:t>
      </w:r>
    </w:p>
    <w:p w:rsidR="006B5472" w:rsidRDefault="006B5472" w:rsidP="00F4573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table 2.3-7, the ACS requirements for BS is 46dB instead of 45dB.</w:t>
      </w:r>
    </w:p>
    <w:p w:rsidR="006B5472" w:rsidRPr="009E48D9" w:rsidRDefault="006B5472" w:rsidP="00F4573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5: to correct the above errors in table 2.3-6 and 2.3-7.</w:t>
      </w:r>
    </w:p>
    <w:p w:rsidR="00DA4FD3" w:rsidRDefault="006B5472" w:rsidP="006B5472">
      <w:pPr>
        <w:pStyle w:val="1"/>
        <w:rPr>
          <w:rFonts w:eastAsia="宋体"/>
          <w:lang w:eastAsia="zh-CN"/>
        </w:rPr>
      </w:pPr>
      <w:r w:rsidRPr="006B5472">
        <w:rPr>
          <w:rFonts w:eastAsia="宋体"/>
          <w:lang w:eastAsia="zh-CN"/>
        </w:rPr>
        <w:t>TN BS antenna</w:t>
      </w:r>
      <w:r>
        <w:rPr>
          <w:rFonts w:eastAsia="宋体"/>
          <w:lang w:eastAsia="zh-CN"/>
        </w:rPr>
        <w:t xml:space="preserve"> </w:t>
      </w:r>
      <w:r w:rsidR="00B23B33">
        <w:rPr>
          <w:rFonts w:eastAsia="宋体"/>
          <w:lang w:eastAsia="zh-CN"/>
        </w:rPr>
        <w:t>parameters</w:t>
      </w:r>
    </w:p>
    <w:bookmarkEnd w:id="5"/>
    <w:bookmarkEnd w:id="6"/>
    <w:p w:rsidR="00B23B33" w:rsidRPr="00B23B33" w:rsidRDefault="00B23B33" w:rsidP="004E3AF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AAS antenna, it refers to </w:t>
      </w:r>
      <w:r w:rsidRPr="00B23B33">
        <w:rPr>
          <w:rFonts w:eastAsiaTheme="minorEastAsia"/>
          <w:lang w:eastAsia="zh-CN"/>
        </w:rPr>
        <w:t>TR 38.921 pattern.</w:t>
      </w:r>
      <w:r>
        <w:rPr>
          <w:rFonts w:eastAsiaTheme="minorEastAsia"/>
          <w:lang w:eastAsia="zh-CN"/>
        </w:rPr>
        <w:t xml:space="preserve"> However, for the specific parameters, the following table can be assumed based on </w:t>
      </w:r>
      <w:r w:rsidRPr="00B23B33">
        <w:rPr>
          <w:rFonts w:eastAsiaTheme="minorEastAsia"/>
          <w:lang w:eastAsia="zh-CN"/>
        </w:rPr>
        <w:t>R4-2102840</w:t>
      </w:r>
      <w:r>
        <w:rPr>
          <w:rFonts w:eastAsiaTheme="minorEastAsia"/>
          <w:lang w:eastAsia="zh-CN"/>
        </w:rPr>
        <w:t>.</w:t>
      </w:r>
    </w:p>
    <w:tbl>
      <w:tblPr>
        <w:tblW w:w="3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2256"/>
        <w:gridCol w:w="1468"/>
        <w:gridCol w:w="1468"/>
      </w:tblGrid>
      <w:tr w:rsidR="00B23B33" w:rsidTr="00B23B33">
        <w:trPr>
          <w:trHeight w:val="4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80" w:after="80"/>
              <w:rPr>
                <w:lang w:val="en-US" w:eastAsia="zh-CN"/>
              </w:rPr>
            </w:pPr>
            <w:r>
              <w:t> 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80" w:after="80"/>
            </w:pPr>
            <w:r>
              <w:t> </w:t>
            </w:r>
            <w:r>
              <w:rPr>
                <w:rStyle w:val="aff"/>
                <w:rFonts w:ascii="宋体" w:eastAsia="Arial" w:hAnsi="宋体" w:hint="eastAsi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80" w:after="80"/>
            </w:pPr>
            <w:r>
              <w:t> </w:t>
            </w:r>
            <w:r>
              <w:rPr>
                <w:rStyle w:val="aff"/>
                <w:rFonts w:ascii="宋体" w:eastAsia="Arial" w:hAnsi="宋体" w:hint="eastAsia"/>
                <w:sz w:val="18"/>
                <w:szCs w:val="18"/>
              </w:rPr>
              <w:t>Rural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80" w:after="80"/>
            </w:pPr>
            <w:r>
              <w:t> </w:t>
            </w:r>
            <w:r>
              <w:rPr>
                <w:rStyle w:val="aff"/>
                <w:rFonts w:ascii="宋体" w:eastAsia="Arial" w:hAnsi="宋体" w:hint="eastAsia"/>
                <w:sz w:val="18"/>
                <w:szCs w:val="18"/>
              </w:rPr>
              <w:t>Macro urban</w:t>
            </w:r>
          </w:p>
        </w:tc>
      </w:tr>
      <w:tr w:rsidR="00B23B33" w:rsidTr="00B23B33">
        <w:trPr>
          <w:trHeight w:val="4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/>
              <w:jc w:val="right"/>
            </w:pPr>
            <w:r>
              <w:t> </w:t>
            </w:r>
            <w:r>
              <w:rPr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/>
              <w:jc w:val="both"/>
            </w:pPr>
            <w:r>
              <w:t> </w:t>
            </w:r>
            <w:r>
              <w:rPr>
                <w:sz w:val="18"/>
                <w:szCs w:val="18"/>
              </w:rPr>
              <w:t>Antenna pattern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80" w:after="80"/>
            </w:pPr>
            <w:r>
              <w:t> </w:t>
            </w:r>
            <w:r>
              <w:rPr>
                <w:sz w:val="18"/>
                <w:szCs w:val="18"/>
              </w:rPr>
              <w:t>TS 38.921</w:t>
            </w:r>
          </w:p>
        </w:tc>
      </w:tr>
      <w:tr w:rsidR="00B23B33" w:rsidTr="00B23B33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  <w:jc w:val="right"/>
            </w:pPr>
            <w:r>
              <w:t> </w:t>
            </w:r>
            <w:r>
              <w:rPr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</w:pPr>
            <w:r>
              <w:t> </w:t>
            </w:r>
            <w:r>
              <w:rPr>
                <w:sz w:val="18"/>
                <w:szCs w:val="18"/>
              </w:rPr>
              <w:t>Element gain (</w:t>
            </w:r>
            <w:proofErr w:type="spellStart"/>
            <w:r>
              <w:rPr>
                <w:sz w:val="18"/>
                <w:szCs w:val="18"/>
              </w:rPr>
              <w:t>dBi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  <w:vertAlign w:val="superscript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6.4</w:t>
            </w:r>
          </w:p>
        </w:tc>
      </w:tr>
      <w:tr w:rsidR="00B23B33" w:rsidTr="00B23B33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  <w:jc w:val="right"/>
            </w:pPr>
            <w:r>
              <w:t> </w:t>
            </w:r>
            <w:r>
              <w:rPr>
                <w:sz w:val="18"/>
                <w:szCs w:val="18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</w:pPr>
            <w:r>
              <w:t> </w:t>
            </w:r>
            <w:r>
              <w:rPr>
                <w:sz w:val="18"/>
                <w:szCs w:val="18"/>
              </w:rPr>
              <w:t>Horizontal/vertical 3 dB beam width of single element (degree)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90º for H</w:t>
            </w:r>
            <w:r>
              <w:rPr>
                <w:sz w:val="18"/>
                <w:szCs w:val="18"/>
              </w:rPr>
              <w:br/>
              <w:t>54º for 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90º for H</w:t>
            </w:r>
            <w:r>
              <w:rPr>
                <w:sz w:val="18"/>
                <w:szCs w:val="18"/>
              </w:rPr>
              <w:br/>
              <w:t>65º for V</w:t>
            </w:r>
          </w:p>
        </w:tc>
      </w:tr>
      <w:tr w:rsidR="00B23B33" w:rsidTr="00B23B33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  <w:jc w:val="right"/>
            </w:pPr>
            <w:r>
              <w:lastRenderedPageBreak/>
              <w:t> </w:t>
            </w:r>
            <w:r>
              <w:rPr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</w:pPr>
            <w:r>
              <w:t> </w:t>
            </w:r>
            <w:r>
              <w:rPr>
                <w:sz w:val="18"/>
                <w:szCs w:val="18"/>
              </w:rPr>
              <w:t>Horizontal/vertical front</w:t>
            </w:r>
            <w:r>
              <w:rPr>
                <w:sz w:val="18"/>
                <w:szCs w:val="18"/>
              </w:rPr>
              <w:noBreakHyphen/>
              <w:t>to</w:t>
            </w:r>
            <w:r>
              <w:rPr>
                <w:sz w:val="18"/>
                <w:szCs w:val="18"/>
              </w:rPr>
              <w:noBreakHyphen/>
              <w:t>back ratio (dB)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30 for both H/V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30 for both H/V</w:t>
            </w:r>
          </w:p>
        </w:tc>
      </w:tr>
      <w:tr w:rsidR="00B23B33" w:rsidTr="00B23B33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  <w:jc w:val="right"/>
            </w:pPr>
            <w:r>
              <w:t> </w:t>
            </w:r>
            <w:r>
              <w:rPr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</w:pPr>
            <w:r>
              <w:t> </w:t>
            </w:r>
            <w:r>
              <w:rPr>
                <w:sz w:val="18"/>
                <w:szCs w:val="18"/>
              </w:rPr>
              <w:t xml:space="preserve">Antenna polarization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Linear ±45º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Linear ±45º</w:t>
            </w:r>
          </w:p>
        </w:tc>
      </w:tr>
      <w:tr w:rsidR="00B23B33" w:rsidTr="00B23B33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  <w:jc w:val="right"/>
            </w:pPr>
            <w:r>
              <w:t> </w:t>
            </w:r>
            <w:r>
              <w:rPr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</w:pPr>
            <w:r>
              <w:t> </w:t>
            </w:r>
            <w:r>
              <w:rPr>
                <w:sz w:val="18"/>
                <w:szCs w:val="18"/>
              </w:rPr>
              <w:t>Antenna array configuration (Row × Column)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  <w:vertAlign w:val="superscript"/>
              </w:rPr>
              <w:t>(Note 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8 × 8 elements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8 × 8 elements</w:t>
            </w:r>
          </w:p>
        </w:tc>
      </w:tr>
      <w:tr w:rsidR="00B23B33" w:rsidTr="00B23B33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  <w:jc w:val="right"/>
            </w:pPr>
            <w:r>
              <w:t> </w:t>
            </w:r>
            <w:r>
              <w:rPr>
                <w:sz w:val="18"/>
                <w:szCs w:val="18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</w:pPr>
            <w:r>
              <w:t> </w:t>
            </w:r>
            <w:r>
              <w:rPr>
                <w:sz w:val="18"/>
                <w:szCs w:val="18"/>
              </w:rPr>
              <w:t xml:space="preserve">Horizontal/Vertical radiating element spacing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0.5 of wavelength for H, 0.9 of wavelength for 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0.5 of wavelength for H, 0.7 of wavelength for V</w:t>
            </w:r>
          </w:p>
        </w:tc>
      </w:tr>
      <w:tr w:rsidR="00B23B33" w:rsidTr="00B23B33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  <w:jc w:val="right"/>
            </w:pPr>
            <w:r>
              <w:t> </w:t>
            </w:r>
            <w:r>
              <w:rPr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</w:pPr>
            <w:r>
              <w:t> </w:t>
            </w:r>
            <w:r>
              <w:rPr>
                <w:sz w:val="18"/>
                <w:szCs w:val="18"/>
              </w:rPr>
              <w:t xml:space="preserve">Array </w:t>
            </w:r>
            <w:proofErr w:type="spellStart"/>
            <w:r>
              <w:rPr>
                <w:sz w:val="18"/>
                <w:szCs w:val="18"/>
              </w:rPr>
              <w:t>Ohmic</w:t>
            </w:r>
            <w:proofErr w:type="spellEnd"/>
            <w:r>
              <w:rPr>
                <w:sz w:val="18"/>
                <w:szCs w:val="18"/>
              </w:rPr>
              <w:t xml:space="preserve"> loss (dB) </w:t>
            </w:r>
            <w:r>
              <w:rPr>
                <w:sz w:val="18"/>
                <w:szCs w:val="18"/>
                <w:vertAlign w:val="superscript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2</w:t>
            </w:r>
          </w:p>
        </w:tc>
      </w:tr>
      <w:tr w:rsidR="00B23B33" w:rsidTr="00B23B33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  <w:jc w:val="right"/>
            </w:pPr>
            <w:r>
              <w:t> </w:t>
            </w:r>
            <w:r>
              <w:rPr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</w:pPr>
            <w:r>
              <w:t> </w:t>
            </w:r>
            <w:r>
              <w:rPr>
                <w:sz w:val="18"/>
                <w:szCs w:val="18"/>
              </w:rPr>
              <w:t xml:space="preserve">Conducted power (before </w:t>
            </w:r>
            <w:proofErr w:type="spellStart"/>
            <w:r>
              <w:rPr>
                <w:sz w:val="18"/>
                <w:szCs w:val="18"/>
              </w:rPr>
              <w:t>Ohmic</w:t>
            </w:r>
            <w:proofErr w:type="spellEnd"/>
            <w:r>
              <w:rPr>
                <w:sz w:val="18"/>
                <w:szCs w:val="18"/>
              </w:rPr>
              <w:t xml:space="preserve"> loss) per antenna element (</w:t>
            </w:r>
            <w:proofErr w:type="spellStart"/>
            <w:r>
              <w:rPr>
                <w:sz w:val="18"/>
                <w:szCs w:val="18"/>
              </w:rPr>
              <w:t>dBm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  <w:vertAlign w:val="superscript"/>
              </w:rPr>
              <w:t>(Note 3)</w:t>
            </w: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25</w:t>
            </w:r>
          </w:p>
        </w:tc>
      </w:tr>
      <w:tr w:rsidR="00B23B33" w:rsidTr="00B23B33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  <w:jc w:val="right"/>
            </w:pPr>
            <w:r>
              <w:t> </w:t>
            </w:r>
            <w:r>
              <w:rPr>
                <w:sz w:val="18"/>
                <w:szCs w:val="18"/>
              </w:rPr>
              <w:t>1.10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</w:pPr>
            <w:r>
              <w:t> </w:t>
            </w:r>
            <w:r>
              <w:rPr>
                <w:sz w:val="18"/>
                <w:szCs w:val="18"/>
              </w:rPr>
              <w:t>Base station maximum coverage angle in the horizontal plane (degrees)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120</w:t>
            </w:r>
          </w:p>
        </w:tc>
      </w:tr>
      <w:tr w:rsidR="00B23B33" w:rsidTr="00B23B33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  <w:jc w:val="right"/>
            </w:pPr>
            <w:r>
              <w:t> </w:t>
            </w:r>
            <w:r>
              <w:rPr>
                <w:sz w:val="18"/>
                <w:szCs w:val="18"/>
              </w:rPr>
              <w:t>1.11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</w:pPr>
            <w:r>
              <w:t> </w:t>
            </w:r>
            <w:r>
              <w:rPr>
                <w:sz w:val="18"/>
                <w:szCs w:val="18"/>
              </w:rPr>
              <w:t xml:space="preserve">Base station vertical coverage range (degrees) </w:t>
            </w:r>
            <w:r>
              <w:rPr>
                <w:sz w:val="18"/>
                <w:szCs w:val="18"/>
                <w:vertAlign w:val="superscript"/>
              </w:rPr>
              <w:t>(Note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90-100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90-120</w:t>
            </w:r>
          </w:p>
        </w:tc>
      </w:tr>
      <w:tr w:rsidR="00B23B33" w:rsidTr="00B23B33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  <w:jc w:val="right"/>
            </w:pPr>
            <w:r>
              <w:t> </w:t>
            </w:r>
            <w:r>
              <w:rPr>
                <w:sz w:val="18"/>
                <w:szCs w:val="18"/>
              </w:rPr>
              <w:t>1.12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B33" w:rsidRDefault="00B23B33" w:rsidP="00B23B33">
            <w:pPr>
              <w:spacing w:before="40" w:after="20" w:line="20" w:lineRule="atLeast"/>
            </w:pPr>
            <w:r>
              <w:t> </w:t>
            </w:r>
            <w:r>
              <w:rPr>
                <w:sz w:val="18"/>
                <w:szCs w:val="18"/>
              </w:rPr>
              <w:t xml:space="preserve">Mechanical </w:t>
            </w:r>
            <w:proofErr w:type="spellStart"/>
            <w:r>
              <w:rPr>
                <w:sz w:val="18"/>
                <w:szCs w:val="18"/>
              </w:rPr>
              <w:t>downtilt</w:t>
            </w:r>
            <w:proofErr w:type="spellEnd"/>
            <w:r>
              <w:rPr>
                <w:sz w:val="18"/>
                <w:szCs w:val="18"/>
              </w:rPr>
              <w:t xml:space="preserve"> (degrees)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B33" w:rsidRDefault="00B23B33" w:rsidP="00B23B33">
            <w:pPr>
              <w:spacing w:before="40" w:after="20" w:line="20" w:lineRule="atLeast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10</w:t>
            </w:r>
          </w:p>
        </w:tc>
      </w:tr>
    </w:tbl>
    <w:p w:rsidR="00B23B33" w:rsidRDefault="00B23B33" w:rsidP="004E3AF7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6: to assume specific Antenna parameters for AAS antenna pattern</w:t>
      </w:r>
      <w:r w:rsidR="00E532D3">
        <w:rPr>
          <w:rFonts w:eastAsia="宋体"/>
          <w:b/>
          <w:lang w:eastAsia="zh-CN"/>
        </w:rPr>
        <w:t xml:space="preserve"> </w:t>
      </w:r>
      <w:r w:rsidR="00E532D3" w:rsidRPr="00E532D3">
        <w:rPr>
          <w:rFonts w:eastAsia="宋体"/>
          <w:b/>
          <w:lang w:eastAsia="zh-CN"/>
        </w:rPr>
        <w:t>based on R4-2102840</w:t>
      </w:r>
      <w:r>
        <w:rPr>
          <w:rFonts w:eastAsia="宋体"/>
          <w:b/>
          <w:lang w:eastAsia="zh-CN"/>
        </w:rPr>
        <w:t>.</w:t>
      </w:r>
    </w:p>
    <w:p w:rsidR="006C0F15" w:rsidRDefault="006C0F15" w:rsidP="006C0F15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HAPS simulation assumptions</w:t>
      </w:r>
    </w:p>
    <w:p w:rsidR="006C0F15" w:rsidRDefault="006C0F15" w:rsidP="004E3AF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approved HAPS simulation assumptions [3], the indoor UE percentage is not aligned with current NTN’s assumptions. 70% and 50% is too high. Generally, 20% is more reasonable. In table 5, </w:t>
      </w:r>
      <w:proofErr w:type="gramStart"/>
      <w:r>
        <w:rPr>
          <w:rFonts w:eastAsiaTheme="minorEastAsia"/>
          <w:lang w:eastAsia="zh-CN"/>
        </w:rPr>
        <w:t>Urban</w:t>
      </w:r>
      <w:proofErr w:type="gramEnd"/>
      <w:r>
        <w:rPr>
          <w:rFonts w:eastAsiaTheme="minorEastAsia"/>
          <w:lang w:eastAsia="zh-CN"/>
        </w:rPr>
        <w:t xml:space="preserve"> macro channel model can refer to TR 38.901 because channel model in 38.803 </w:t>
      </w:r>
      <w:r w:rsidR="00D0141B">
        <w:rPr>
          <w:rFonts w:eastAsiaTheme="minorEastAsia"/>
          <w:lang w:eastAsia="zh-CN"/>
        </w:rPr>
        <w:t>was</w:t>
      </w:r>
      <w:r>
        <w:rPr>
          <w:rFonts w:eastAsiaTheme="minorEastAsia"/>
          <w:lang w:eastAsia="zh-CN"/>
        </w:rPr>
        <w:t xml:space="preserve"> not </w:t>
      </w:r>
      <w:r w:rsidR="00D0141B">
        <w:rPr>
          <w:rFonts w:eastAsiaTheme="minorEastAsia"/>
          <w:lang w:eastAsia="zh-CN"/>
        </w:rPr>
        <w:t>updated</w:t>
      </w:r>
      <w:r>
        <w:rPr>
          <w:rFonts w:eastAsiaTheme="minorEastAsia"/>
          <w:lang w:eastAsia="zh-CN"/>
        </w:rPr>
        <w:t>.</w:t>
      </w:r>
    </w:p>
    <w:p w:rsidR="00D0141B" w:rsidRPr="006C0F15" w:rsidRDefault="00D0141B" w:rsidP="004E3AF7">
      <w:pPr>
        <w:rPr>
          <w:rFonts w:eastAsiaTheme="minorEastAsia"/>
          <w:lang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7: to assume 20% indoor UE for TN in HAPS coexistence simulation.</w:t>
      </w:r>
      <w:r w:rsidRPr="00D0141B">
        <w:rPr>
          <w:rFonts w:eastAsiaTheme="minorEastAsia"/>
          <w:lang w:eastAsia="zh-CN"/>
        </w:rPr>
        <w:t xml:space="preserve"> </w:t>
      </w:r>
      <w:r w:rsidRPr="00D0141B">
        <w:rPr>
          <w:rFonts w:eastAsiaTheme="minorEastAsia"/>
          <w:b/>
          <w:lang w:eastAsia="zh-CN"/>
        </w:rPr>
        <w:t>Urban macro channel model can refer to TR 38.901</w:t>
      </w:r>
      <w:r>
        <w:rPr>
          <w:rFonts w:eastAsiaTheme="minorEastAsia"/>
          <w:b/>
          <w:lang w:eastAsia="zh-CN"/>
        </w:rPr>
        <w:t>.</w:t>
      </w:r>
    </w:p>
    <w:p w:rsidR="00AC6756" w:rsidRDefault="00AC6756" w:rsidP="006C0F15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9E48D9" w:rsidRPr="008F035D" w:rsidRDefault="00B23B33" w:rsidP="009E48D9">
      <w:pPr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1:</w:t>
      </w:r>
      <w:r w:rsidRPr="00EF48CA">
        <w:t xml:space="preserve"> </w:t>
      </w:r>
      <w:r>
        <w:rPr>
          <w:rFonts w:eastAsia="宋体"/>
          <w:b/>
          <w:lang w:eastAsia="zh-CN"/>
        </w:rPr>
        <w:t>To remove GEO scenario since PC3 handheld UE has no UL throughput</w:t>
      </w:r>
      <w:r w:rsidRPr="008F035D">
        <w:rPr>
          <w:rFonts w:eastAsia="宋体"/>
          <w:b/>
          <w:lang w:eastAsia="zh-CN"/>
        </w:rPr>
        <w:t>.</w:t>
      </w:r>
    </w:p>
    <w:p w:rsidR="009E48D9" w:rsidRPr="009E48D9" w:rsidRDefault="00B23B33" w:rsidP="009E48D9">
      <w:pPr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2:</w:t>
      </w:r>
      <w:r w:rsidRPr="00EF48CA">
        <w:t xml:space="preserve"> </w:t>
      </w:r>
      <w:r>
        <w:rPr>
          <w:rFonts w:eastAsia="宋体"/>
          <w:b/>
          <w:lang w:eastAsia="zh-CN"/>
        </w:rPr>
        <w:t>O</w:t>
      </w:r>
      <w:proofErr w:type="spellStart"/>
      <w:r w:rsidRPr="00B7167B">
        <w:rPr>
          <w:rFonts w:eastAsia="宋体"/>
          <w:b/>
          <w:lang w:val="en-US" w:eastAsia="zh-CN"/>
        </w:rPr>
        <w:t>ne</w:t>
      </w:r>
      <w:proofErr w:type="spellEnd"/>
      <w:r w:rsidRPr="00B7167B">
        <w:rPr>
          <w:rFonts w:eastAsia="宋体"/>
          <w:b/>
          <w:lang w:val="en-US" w:eastAsia="zh-CN"/>
        </w:rPr>
        <w:t xml:space="preserve"> satellite with FRF=3 can be considered as </w:t>
      </w:r>
      <w:r w:rsidR="001B158D">
        <w:rPr>
          <w:rFonts w:eastAsia="宋体"/>
          <w:b/>
          <w:lang w:val="en-US" w:eastAsia="zh-CN"/>
        </w:rPr>
        <w:t>candidate</w:t>
      </w:r>
      <w:r w:rsidRPr="00B7167B">
        <w:rPr>
          <w:rFonts w:eastAsia="宋体"/>
          <w:b/>
          <w:lang w:val="en-US" w:eastAsia="zh-CN"/>
        </w:rPr>
        <w:t xml:space="preserve"> NTN-NTN co-existence scenario</w:t>
      </w:r>
      <w:r w:rsidRPr="00B7167B">
        <w:rPr>
          <w:rFonts w:eastAsia="宋体"/>
          <w:b/>
          <w:lang w:eastAsia="zh-CN"/>
        </w:rPr>
        <w:t>.</w:t>
      </w:r>
    </w:p>
    <w:p w:rsidR="00B23B33" w:rsidRDefault="00B23B33" w:rsidP="00B23B33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3: </w:t>
      </w:r>
      <w:r w:rsidRPr="00B7167B">
        <w:rPr>
          <w:rFonts w:eastAsia="宋体"/>
          <w:b/>
          <w:lang w:eastAsia="zh-CN"/>
        </w:rPr>
        <w:t xml:space="preserve">the satellite max </w:t>
      </w:r>
      <w:proofErr w:type="spellStart"/>
      <w:proofErr w:type="gramStart"/>
      <w:r w:rsidRPr="00B7167B">
        <w:rPr>
          <w:rFonts w:eastAsia="宋体"/>
          <w:b/>
          <w:lang w:eastAsia="zh-CN"/>
        </w:rPr>
        <w:t>Tx</w:t>
      </w:r>
      <w:proofErr w:type="spellEnd"/>
      <w:proofErr w:type="gramEnd"/>
      <w:r w:rsidRPr="00B7167B">
        <w:rPr>
          <w:rFonts w:eastAsia="宋体"/>
          <w:b/>
          <w:lang w:eastAsia="zh-CN"/>
        </w:rPr>
        <w:t xml:space="preserve"> power in </w:t>
      </w:r>
      <w:proofErr w:type="spellStart"/>
      <w:r w:rsidRPr="00B7167B">
        <w:rPr>
          <w:rFonts w:eastAsia="宋体"/>
          <w:b/>
          <w:lang w:eastAsia="zh-CN"/>
        </w:rPr>
        <w:t>dBm</w:t>
      </w:r>
      <w:proofErr w:type="spellEnd"/>
      <w:r w:rsidRPr="00B7167B">
        <w:rPr>
          <w:rFonts w:eastAsia="宋体"/>
          <w:b/>
          <w:lang w:eastAsia="zh-CN"/>
        </w:rPr>
        <w:t xml:space="preserve"> for 20MHz</w:t>
      </w:r>
      <w:r>
        <w:rPr>
          <w:rFonts w:eastAsia="宋体"/>
          <w:b/>
          <w:lang w:eastAsia="zh-CN"/>
        </w:rPr>
        <w:t xml:space="preserve"> can be assumed as below.</w:t>
      </w: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1085"/>
        <w:gridCol w:w="1087"/>
        <w:gridCol w:w="1047"/>
        <w:gridCol w:w="534"/>
        <w:gridCol w:w="534"/>
        <w:gridCol w:w="535"/>
        <w:gridCol w:w="534"/>
        <w:gridCol w:w="534"/>
        <w:gridCol w:w="535"/>
        <w:gridCol w:w="534"/>
        <w:gridCol w:w="534"/>
        <w:gridCol w:w="535"/>
        <w:gridCol w:w="534"/>
        <w:gridCol w:w="534"/>
        <w:gridCol w:w="535"/>
      </w:tblGrid>
      <w:tr w:rsidR="00B23B33" w:rsidTr="0096429B">
        <w:tc>
          <w:tcPr>
            <w:tcW w:w="3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orbit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GEO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LEO-1200</w:t>
            </w:r>
          </w:p>
        </w:tc>
        <w:tc>
          <w:tcPr>
            <w:tcW w:w="2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LEO-600</w:t>
            </w:r>
          </w:p>
        </w:tc>
      </w:tr>
      <w:tr w:rsidR="00B23B33" w:rsidTr="0096429B">
        <w:tc>
          <w:tcPr>
            <w:tcW w:w="3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altitude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35786 km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1200 km</w:t>
            </w:r>
          </w:p>
        </w:tc>
        <w:tc>
          <w:tcPr>
            <w:tcW w:w="2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600 km</w:t>
            </w:r>
          </w:p>
        </w:tc>
      </w:tr>
      <w:tr w:rsidR="00B23B33" w:rsidTr="0096429B">
        <w:tc>
          <w:tcPr>
            <w:tcW w:w="96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DL transmissions</w:t>
            </w:r>
          </w:p>
        </w:tc>
      </w:tr>
      <w:tr w:rsidR="00B23B33" w:rsidTr="0096429B"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EIRP density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2GHz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59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40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  <w:tc>
          <w:tcPr>
            <w:tcW w:w="2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34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</w:tr>
      <w:tr w:rsidR="00B23B33" w:rsidTr="0096429B"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Satellite max TX power in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dBm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BW (MHz)</w:t>
            </w: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pacing w:after="0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10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10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</w:t>
            </w:r>
          </w:p>
        </w:tc>
      </w:tr>
      <w:tr w:rsidR="00B23B33" w:rsidTr="0096429B">
        <w:trPr>
          <w:trHeight w:val="276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pacing w:after="0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SCS 15kHz</w:t>
            </w: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pacing w:after="0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44.53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47.71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49.53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Pr="006B5472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  <w:highlight w:val="yellow"/>
              </w:rPr>
            </w:pPr>
            <w:r w:rsidRPr="006B5472">
              <w:rPr>
                <w:rFonts w:eastAsiaTheme="minorEastAsia"/>
                <w:sz w:val="13"/>
                <w:szCs w:val="15"/>
                <w:highlight w:val="yellow"/>
              </w:rPr>
              <w:t>50.71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46.53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49.71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51.53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Pr="006B5472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  <w:highlight w:val="yellow"/>
              </w:rPr>
            </w:pPr>
            <w:r w:rsidRPr="006B5472">
              <w:rPr>
                <w:rFonts w:eastAsiaTheme="minorEastAsia"/>
                <w:sz w:val="13"/>
                <w:szCs w:val="15"/>
                <w:highlight w:val="yellow"/>
              </w:rPr>
              <w:t>52.71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40.53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43.71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45.53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Pr="006B5472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  <w:highlight w:val="yellow"/>
              </w:rPr>
            </w:pPr>
            <w:r w:rsidRPr="006B5472">
              <w:rPr>
                <w:rFonts w:eastAsiaTheme="minorEastAsia"/>
                <w:sz w:val="13"/>
                <w:szCs w:val="15"/>
                <w:highlight w:val="yellow"/>
              </w:rPr>
              <w:t>46.71</w:t>
            </w:r>
          </w:p>
        </w:tc>
      </w:tr>
      <w:tr w:rsidR="00B23B33" w:rsidTr="0096429B">
        <w:trPr>
          <w:trHeight w:val="47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pacing w:after="0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SCS 30kHz</w:t>
            </w: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pacing w:after="0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43.98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47.37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49.36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Pr="006B5472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  <w:highlight w:val="yellow"/>
              </w:rPr>
            </w:pPr>
            <w:r w:rsidRPr="006B5472">
              <w:rPr>
                <w:rFonts w:eastAsiaTheme="minorEastAsia"/>
                <w:sz w:val="13"/>
                <w:szCs w:val="15"/>
                <w:highlight w:val="yellow"/>
              </w:rPr>
              <w:t>50.37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45.98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49.37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51.36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Pr="006B5472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  <w:highlight w:val="yellow"/>
              </w:rPr>
            </w:pPr>
            <w:r w:rsidRPr="006B5472">
              <w:rPr>
                <w:rFonts w:eastAsiaTheme="minorEastAsia"/>
                <w:sz w:val="13"/>
                <w:szCs w:val="15"/>
                <w:highlight w:val="yellow"/>
              </w:rPr>
              <w:t>52.37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39.98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43.37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rFonts w:eastAsiaTheme="minorEastAsia"/>
                <w:sz w:val="13"/>
                <w:szCs w:val="15"/>
              </w:rPr>
              <w:t>45.36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33" w:rsidRPr="006B5472" w:rsidRDefault="00B23B33" w:rsidP="0096429B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  <w:highlight w:val="yellow"/>
              </w:rPr>
            </w:pPr>
            <w:r w:rsidRPr="006B5472">
              <w:rPr>
                <w:rFonts w:eastAsiaTheme="minorEastAsia"/>
                <w:sz w:val="13"/>
                <w:szCs w:val="15"/>
                <w:highlight w:val="yellow"/>
              </w:rPr>
              <w:t>46.37</w:t>
            </w:r>
          </w:p>
        </w:tc>
      </w:tr>
    </w:tbl>
    <w:p w:rsidR="00B23B33" w:rsidRDefault="00B23B33" w:rsidP="00B23B33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4: the handover margin can be 3dB for NTN.</w:t>
      </w:r>
    </w:p>
    <w:p w:rsidR="00B23B33" w:rsidRDefault="00B23B33" w:rsidP="00B23B3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table 2.3-6, the “cell radius” should be replaced by “cell range” because of the different concepts for “cell radius” between ITU-R and 3GPP.</w:t>
      </w:r>
    </w:p>
    <w:p w:rsidR="00B23B33" w:rsidRDefault="00B23B33" w:rsidP="00B23B3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In table 2.3-6, the suburban macro can be removed since the agreed scenarios didn’t include suburban macro.</w:t>
      </w:r>
    </w:p>
    <w:p w:rsidR="00B23B33" w:rsidRDefault="00B23B33" w:rsidP="00B23B3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table 2.3-7, the ACS requirements for BS is 46dB instead of 45dB.</w:t>
      </w:r>
    </w:p>
    <w:p w:rsidR="009E48D9" w:rsidRDefault="00B23B33" w:rsidP="00B23B33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5: to correct the above errors in table 2.3-6 and 2.3-7.</w:t>
      </w:r>
    </w:p>
    <w:p w:rsidR="001B158D" w:rsidRDefault="001B158D" w:rsidP="00B23B33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6: to assume specific Antenna parameters for AAS antenna pattern.</w:t>
      </w:r>
    </w:p>
    <w:p w:rsidR="008E32C7" w:rsidRPr="001F1FDB" w:rsidRDefault="008E32C7" w:rsidP="00B23B33"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7: to assume 20% indoor UE for TN in HAPS coexistence simulation.</w:t>
      </w:r>
      <w:r w:rsidRPr="00D0141B">
        <w:rPr>
          <w:rFonts w:eastAsiaTheme="minorEastAsia"/>
          <w:lang w:eastAsia="zh-CN"/>
        </w:rPr>
        <w:t xml:space="preserve"> </w:t>
      </w:r>
      <w:r w:rsidRPr="00D0141B">
        <w:rPr>
          <w:rFonts w:eastAsiaTheme="minorEastAsia"/>
          <w:b/>
          <w:lang w:eastAsia="zh-CN"/>
        </w:rPr>
        <w:t>Urban macro channel model can refer to TR 38.901</w:t>
      </w:r>
      <w:r>
        <w:rPr>
          <w:rFonts w:eastAsiaTheme="minorEastAsia"/>
          <w:b/>
          <w:lang w:eastAsia="zh-CN"/>
        </w:rPr>
        <w:t>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61799E" w:rsidRDefault="0029122A" w:rsidP="00B7167B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7" w:name="OLE_LINK51"/>
      <w:bookmarkStart w:id="8" w:name="OLE_LINK52"/>
      <w:r w:rsidRPr="0029122A">
        <w:rPr>
          <w:rFonts w:eastAsia="宋体"/>
          <w:lang w:eastAsia="zh-CN"/>
        </w:rPr>
        <w:t>R4-2108645</w:t>
      </w:r>
      <w:r w:rsidR="0061799E">
        <w:rPr>
          <w:rFonts w:eastAsia="宋体"/>
          <w:lang w:eastAsia="zh-CN"/>
        </w:rPr>
        <w:t xml:space="preserve">, </w:t>
      </w:r>
      <w:r w:rsidR="00FE02E7" w:rsidRPr="00FE02E7">
        <w:rPr>
          <w:rFonts w:eastAsia="宋体"/>
          <w:lang w:eastAsia="zh-CN"/>
        </w:rPr>
        <w:t>Simulation assumptions for NTN co-existence study</w:t>
      </w:r>
      <w:r w:rsidR="0061799E">
        <w:rPr>
          <w:rFonts w:eastAsia="宋体"/>
          <w:lang w:eastAsia="zh-CN"/>
        </w:rPr>
        <w:t xml:space="preserve">, </w:t>
      </w:r>
      <w:r w:rsidR="00266B67" w:rsidRPr="00266B67">
        <w:rPr>
          <w:rFonts w:eastAsia="宋体"/>
          <w:lang w:eastAsia="zh-CN"/>
        </w:rPr>
        <w:t>Samsung</w:t>
      </w:r>
      <w:r w:rsidR="00FE02E7">
        <w:rPr>
          <w:rFonts w:eastAsia="宋体"/>
          <w:lang w:eastAsia="zh-CN"/>
        </w:rPr>
        <w:t>, CATT</w:t>
      </w:r>
    </w:p>
    <w:p w:rsidR="00EF1CBA" w:rsidRDefault="00B7167B" w:rsidP="00F4300F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1B158D">
        <w:rPr>
          <w:rFonts w:eastAsia="宋体"/>
          <w:lang w:eastAsia="zh-CN"/>
        </w:rPr>
        <w:t>TR 38.821, Solutions for NR to support non-terrestrial networks (NTN)</w:t>
      </w:r>
      <w:bookmarkEnd w:id="7"/>
      <w:bookmarkEnd w:id="8"/>
    </w:p>
    <w:p w:rsidR="006C0F15" w:rsidRPr="001B158D" w:rsidRDefault="006C0F15" w:rsidP="006C0F15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6C0F15">
        <w:rPr>
          <w:rFonts w:eastAsia="宋体"/>
          <w:lang w:eastAsia="zh-CN"/>
        </w:rPr>
        <w:t>R4-2108646</w:t>
      </w:r>
      <w:r>
        <w:rPr>
          <w:rFonts w:eastAsia="宋体"/>
          <w:lang w:eastAsia="zh-CN"/>
        </w:rPr>
        <w:t xml:space="preserve">, </w:t>
      </w:r>
      <w:r w:rsidRPr="006C0F15">
        <w:rPr>
          <w:rFonts w:eastAsia="宋体"/>
          <w:lang w:eastAsia="zh-CN"/>
        </w:rPr>
        <w:t>Simulation assumptions for HAPS co-existence</w:t>
      </w:r>
      <w:r>
        <w:rPr>
          <w:rFonts w:eastAsia="宋体"/>
          <w:lang w:eastAsia="zh-CN"/>
        </w:rPr>
        <w:t xml:space="preserve">, </w:t>
      </w:r>
      <w:r w:rsidRPr="006C0F15">
        <w:rPr>
          <w:rFonts w:eastAsia="宋体"/>
          <w:lang w:eastAsia="zh-CN"/>
        </w:rPr>
        <w:t>Nokia</w:t>
      </w:r>
    </w:p>
    <w:sectPr w:rsidR="006C0F15" w:rsidRPr="001B158D" w:rsidSect="00FF057F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D46" w:rsidRDefault="002A3D46">
      <w:r>
        <w:separator/>
      </w:r>
    </w:p>
  </w:endnote>
  <w:endnote w:type="continuationSeparator" w:id="0">
    <w:p w:rsidR="002A3D46" w:rsidRDefault="002A3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E7" w:rsidRDefault="00FE02E7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D46" w:rsidRDefault="002A3D46">
      <w:r>
        <w:separator/>
      </w:r>
    </w:p>
  </w:footnote>
  <w:footnote w:type="continuationSeparator" w:id="0">
    <w:p w:rsidR="002A3D46" w:rsidRDefault="002A3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2"/>
  </w:num>
  <w:num w:numId="9">
    <w:abstractNumId w:val="5"/>
  </w:num>
  <w:num w:numId="10">
    <w:abstractNumId w:val="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3C47"/>
    <w:rsid w:val="00014451"/>
    <w:rsid w:val="00014963"/>
    <w:rsid w:val="00014C47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20A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22C"/>
    <w:rsid w:val="001A070B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32FB"/>
    <w:rsid w:val="001B3BC3"/>
    <w:rsid w:val="001B4001"/>
    <w:rsid w:val="001B4350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5C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456C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D46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50DB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6F42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08C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44"/>
    <w:rsid w:val="0051016B"/>
    <w:rsid w:val="00510B56"/>
    <w:rsid w:val="00511CD1"/>
    <w:rsid w:val="00512424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388B"/>
    <w:rsid w:val="005346E8"/>
    <w:rsid w:val="0053569A"/>
    <w:rsid w:val="00536850"/>
    <w:rsid w:val="00537288"/>
    <w:rsid w:val="00537430"/>
    <w:rsid w:val="005374E4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5A5"/>
    <w:rsid w:val="005C319B"/>
    <w:rsid w:val="005C414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6E60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0C3D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BB7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237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A08"/>
    <w:rsid w:val="007E6E66"/>
    <w:rsid w:val="007E7153"/>
    <w:rsid w:val="007E72E2"/>
    <w:rsid w:val="007E7858"/>
    <w:rsid w:val="007F0531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FDA"/>
    <w:rsid w:val="008D5109"/>
    <w:rsid w:val="008D5E6E"/>
    <w:rsid w:val="008D6B5B"/>
    <w:rsid w:val="008D6BE5"/>
    <w:rsid w:val="008D7410"/>
    <w:rsid w:val="008E01A1"/>
    <w:rsid w:val="008E01E5"/>
    <w:rsid w:val="008E07B3"/>
    <w:rsid w:val="008E2662"/>
    <w:rsid w:val="008E27E5"/>
    <w:rsid w:val="008E32C7"/>
    <w:rsid w:val="008E353A"/>
    <w:rsid w:val="008E3B36"/>
    <w:rsid w:val="008E3BCB"/>
    <w:rsid w:val="008E40CC"/>
    <w:rsid w:val="008E56E6"/>
    <w:rsid w:val="008E5A0F"/>
    <w:rsid w:val="008E5D59"/>
    <w:rsid w:val="008E6D6C"/>
    <w:rsid w:val="008E6EF3"/>
    <w:rsid w:val="008F00AF"/>
    <w:rsid w:val="008F035D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2EF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06A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8D9"/>
    <w:rsid w:val="009E4BC1"/>
    <w:rsid w:val="009E4F63"/>
    <w:rsid w:val="009E61C6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2FA3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D7B"/>
    <w:rsid w:val="00B33DBE"/>
    <w:rsid w:val="00B34711"/>
    <w:rsid w:val="00B34E24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4242"/>
    <w:rsid w:val="00B55195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167B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9B"/>
    <w:rsid w:val="00BA55DD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6C3"/>
    <w:rsid w:val="00BB3B49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68E5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DF4"/>
    <w:rsid w:val="00C07A1B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311F"/>
    <w:rsid w:val="00CB342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3FBF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07736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81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A6B"/>
    <w:rsid w:val="00D70917"/>
    <w:rsid w:val="00D713FF"/>
    <w:rsid w:val="00D71DDC"/>
    <w:rsid w:val="00D7245A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56"/>
    <w:rsid w:val="00D929C2"/>
    <w:rsid w:val="00D9370A"/>
    <w:rsid w:val="00D9496A"/>
    <w:rsid w:val="00D9497C"/>
    <w:rsid w:val="00D94BAE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C0"/>
    <w:rsid w:val="00ED6F0A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FCC3A-B6BD-4A43-9496-EF43FEAC5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1073</TotalTime>
  <Pages>4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6191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32</cp:revision>
  <cp:lastPrinted>2010-01-07T02:23:00Z</cp:lastPrinted>
  <dcterms:created xsi:type="dcterms:W3CDTF">2021-02-10T02:54:00Z</dcterms:created>
  <dcterms:modified xsi:type="dcterms:W3CDTF">2021-08-06T12:19:00Z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(3)vG8tMeXz+iOuouGuXSPTnRotMCj7P88t4dUsOCvPcLIzdo9EMmURsDDGS6lk5V+XnsHNRNJS
44zYKiVtB25tLPCRcEMwGO1fr7Xr9gk1UxhgE8CPrb8BTHzGmmHbSDUdBRGqTqA7lKEGzyrO
//4h8RlUOadOyTaTpJBauVnmBO2ZxrTtmKgeVYNi2UEg+zs22WGT0/6rUE2DQz4A93zRi08F
KgmgpC934TnMuhEYQc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q6mMRt3ekv60L1PV3VWNrL7dbGu7URb/QRtMsWGpB0FzL34pq5e9hG
lRp+DcrJGDtjhKeTA7R/THxlPQfTwpq/RXa/6btotZqUsjxdjiVc5j+cNcNKmyjQWhqANWkr
HTTs6P1DH8GZmOH7EdQAcqXb2D3VbTZO1/HUQMiNd70xe2epGbDwF0AmqRoTlFhO+EKSIS1c
DUpAz2YTLuOQeJkz5fDEjY442twKJ4q8UYYI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f1nW9p59ODqieNHpeBPa271+otIpyiGMBX7M
IH/ZgQrV+1oaH9jgPNNOQoGvxVQ2UNN0EFl+S/iGKEyuAQxaoXQ=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